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ajorHAnsi" w:eastAsiaTheme="majorEastAsia" w:hAnsiTheme="majorHAnsi" w:cstheme="majorBidi"/>
          <w:sz w:val="72"/>
          <w:szCs w:val="72"/>
          <w:lang w:val="en-AU" w:eastAsia="en-US"/>
        </w:rPr>
        <w:id w:val="379362371"/>
        <w:docPartObj>
          <w:docPartGallery w:val="Cover Pages"/>
          <w:docPartUnique/>
        </w:docPartObj>
      </w:sdtPr>
      <w:sdtEndPr>
        <w:rPr>
          <w:rFonts w:asciiTheme="minorHAnsi" w:eastAsiaTheme="minorHAnsi" w:hAnsiTheme="minorHAnsi" w:cstheme="minorBidi"/>
          <w:b/>
          <w:sz w:val="24"/>
          <w:szCs w:val="24"/>
          <w:u w:val="single"/>
        </w:rPr>
      </w:sdtEndPr>
      <w:sdtContent>
        <w:p w:rsidR="009B0C26" w:rsidRDefault="009B0C26" w:rsidP="00DB03B6">
          <w:pPr>
            <w:pStyle w:val="NoSpacing"/>
            <w:rPr>
              <w:rFonts w:asciiTheme="majorHAnsi" w:eastAsiaTheme="majorEastAsia" w:hAnsiTheme="majorHAnsi" w:cstheme="majorBidi"/>
              <w:sz w:val="72"/>
              <w:szCs w:val="72"/>
            </w:rPr>
          </w:pPr>
          <w:r>
            <w:rPr>
              <w:noProof/>
              <w:lang w:eastAsia="en-US"/>
            </w:rPr>
            <mc:AlternateContent>
              <mc:Choice Requires="wps">
                <w:drawing>
                  <wp:anchor distT="0" distB="0" distL="114300" distR="114300" simplePos="0" relativeHeight="251659264" behindDoc="0" locked="0" layoutInCell="0" allowOverlap="1" wp14:anchorId="602FDA22" wp14:editId="26D03461">
                    <wp:simplePos x="0" y="0"/>
                    <wp:positionH relativeFrom="page">
                      <wp:align>center</wp:align>
                    </wp:positionH>
                    <wp:positionV relativeFrom="page">
                      <wp:align>bottom</wp:align>
                    </wp:positionV>
                    <wp:extent cx="8161020" cy="817880"/>
                    <wp:effectExtent l="0" t="0" r="0" b="508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ACC0F9B" id="Rectangle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" o:allowincell="f" fillcolor="#4bacc6 [3208]" strokecolor="#4f81bd [3204]">
                    <w10:wrap anchorx="page" anchory="page"/>
                  </v:rect>
                </w:pict>
              </mc:Fallback>
            </mc:AlternateContent>
          </w:r>
          <w:r>
            <w:rPr>
              <w:noProof/>
              <w:lang w:eastAsia="en-US"/>
            </w:rPr>
            <mc:AlternateContent>
              <mc:Choice Requires="wps">
                <w:drawing>
                  <wp:anchor distT="0" distB="0" distL="114300" distR="114300" simplePos="0" relativeHeight="251662336" behindDoc="0" locked="0" layoutInCell="0" allowOverlap="1" wp14:anchorId="1C76218A" wp14:editId="7AF17CBA">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59ED437C" id="Rectangle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BSwS+6JgIAAD8EAAAOAAAAAAAAAAAAAAAAAC4CAABkcnMvZTJvRG9j&#10;LnhtbFBLAQItABQABgAIAAAAIQB9IeJz3QAAAAUBAAAPAAAAAAAAAAAAAAAAAIAEAABkcnMvZG93&#10;bnJldi54bWxQSwUGAAAAAAQABADzAAAAigUAAAAA&#10;" o:allowincell="f" strokecolor="#4f81bd [3204]">
                    <w10:wrap anchorx="margin" anchory="page"/>
                  </v:rect>
                </w:pict>
              </mc:Fallback>
            </mc:AlternateContent>
          </w:r>
          <w:r>
            <w:rPr>
              <w:noProof/>
              <w:lang w:eastAsia="en-US"/>
            </w:rPr>
            <mc:AlternateContent>
              <mc:Choice Requires="wps">
                <w:drawing>
                  <wp:anchor distT="0" distB="0" distL="114300" distR="114300" simplePos="0" relativeHeight="251661312" behindDoc="0" locked="0" layoutInCell="0" allowOverlap="1" wp14:anchorId="1D4AE45B" wp14:editId="5D274967">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2D12E36E" id="Rectangle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sf7t+ScCAAA/BAAADgAAAAAAAAAAAAAAAAAuAgAAZHJzL2Uyb0Rv&#10;Yy54bWxQSwECLQAUAAYACAAAACEAfSHic90AAAAFAQAADwAAAAAAAAAAAAAAAACBBAAAZHJzL2Rv&#10;d25yZXYueG1sUEsFBgAAAAAEAAQA8wAAAIsFAAAAAA==&#10;" o:allowincell="f" strokecolor="#4f81bd [3204]">
                    <w10:wrap anchorx="margin" anchory="page"/>
                  </v:rect>
                </w:pict>
              </mc:Fallback>
            </mc:AlternateContent>
          </w:r>
          <w:r>
            <w:rPr>
              <w:noProof/>
              <w:lang w:eastAsia="en-US"/>
            </w:rPr>
            <mc:AlternateContent>
              <mc:Choice Requires="wps">
                <w:drawing>
                  <wp:anchor distT="0" distB="0" distL="114300" distR="114300" simplePos="0" relativeHeight="251660288" behindDoc="0" locked="0" layoutInCell="0" allowOverlap="1" wp14:anchorId="4737E629" wp14:editId="46858265">
                    <wp:simplePos x="0" y="0"/>
                    <wp:positionH relativeFrom="page">
                      <wp:align>center</wp:align>
                    </wp:positionH>
                    <wp:positionV relativeFrom="topMargin">
                      <wp:align>top</wp:align>
                    </wp:positionV>
                    <wp:extent cx="8161020" cy="82296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35F480FC" id="Rectangle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" o:allowincell="f" fillcolor="#4bacc6 [3208]" strokecolor="#4f81bd [3204]">
                    <w10:wrap anchorx="page" anchory="margin"/>
                  </v:rect>
                </w:pict>
              </mc:Fallback>
            </mc:AlternateContent>
          </w:r>
        </w:p>
        <w:sdt>
          <w:sdtPr>
            <w:rPr>
              <w:rFonts w:asciiTheme="majorHAnsi" w:eastAsiaTheme="majorEastAsia" w:hAnsiTheme="majorHAnsi" w:cstheme="majorBidi"/>
              <w:sz w:val="56"/>
              <w:szCs w:val="72"/>
            </w:rPr>
            <w:alias w:val="Title"/>
            <w:id w:val="14700071"/>
            <w:placeholder>
              <w:docPart w:val="04A2BC1B556746C98C04843B4ADA2EA8"/>
            </w:placeholder>
            <w:dataBinding w:prefixMappings="xmlns:ns0='http://schemas.openxmlformats.org/package/2006/metadata/core-properties' xmlns:ns1='http://purl.org/dc/elements/1.1/'" w:xpath="/ns0:coreProperties[1]/ns1:title[1]" w:storeItemID="{6C3C8BC8-F283-45AE-878A-BAB7291924A1}"/>
            <w:text/>
          </w:sdtPr>
          <w:sdtEndPr/>
          <w:sdtContent>
            <w:p w:rsidR="009B0C26" w:rsidRPr="00D5658B" w:rsidRDefault="009B0C26" w:rsidP="00DB03B6">
              <w:pPr>
                <w:pStyle w:val="NoSpacing"/>
                <w:rPr>
                  <w:rFonts w:asciiTheme="majorHAnsi" w:eastAsiaTheme="majorEastAsia" w:hAnsiTheme="majorHAnsi" w:cstheme="majorBidi"/>
                  <w:sz w:val="56"/>
                  <w:szCs w:val="72"/>
                </w:rPr>
              </w:pPr>
              <w:r>
                <w:rPr>
                  <w:rFonts w:asciiTheme="majorHAnsi" w:eastAsiaTheme="majorEastAsia" w:hAnsiTheme="majorHAnsi" w:cstheme="majorBidi"/>
                  <w:sz w:val="56"/>
                  <w:szCs w:val="72"/>
                </w:rPr>
                <w:t>Compliance Monitoring and Review</w:t>
              </w:r>
            </w:p>
          </w:sdtContent>
        </w:sdt>
        <w:sdt>
          <w:sdtPr>
            <w:rPr>
              <w:rFonts w:asciiTheme="majorHAnsi" w:eastAsiaTheme="majorEastAsia" w:hAnsiTheme="majorHAnsi" w:cstheme="majorBidi"/>
              <w:sz w:val="36"/>
              <w:szCs w:val="36"/>
            </w:rPr>
            <w:alias w:val="Subtitle"/>
            <w:id w:val="14700077"/>
            <w:placeholder>
              <w:docPart w:val="74F2FEA00E2C4E8497776449F6624390"/>
            </w:placeholder>
            <w:dataBinding w:prefixMappings="xmlns:ns0='http://schemas.openxmlformats.org/package/2006/metadata/core-properties' xmlns:ns1='http://purl.org/dc/elements/1.1/'" w:xpath="/ns0:coreProperties[1]/ns1:subject[1]" w:storeItemID="{6C3C8BC8-F283-45AE-878A-BAB7291924A1}"/>
            <w:text/>
          </w:sdtPr>
          <w:sdtEndPr/>
          <w:sdtContent>
            <w:p w:rsidR="009B0C26" w:rsidRDefault="009B0C26" w:rsidP="00DB03B6">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rPr>
                <w:t>Assessment 3</w:t>
              </w:r>
            </w:p>
          </w:sdtContent>
        </w:sdt>
        <w:p w:rsidR="009B0C26" w:rsidRDefault="009B0C26" w:rsidP="00DB03B6">
          <w:pPr>
            <w:pStyle w:val="NoSpacing"/>
            <w:rPr>
              <w:rFonts w:asciiTheme="majorHAnsi" w:eastAsiaTheme="majorEastAsia" w:hAnsiTheme="majorHAnsi" w:cstheme="majorBidi"/>
              <w:sz w:val="36"/>
              <w:szCs w:val="36"/>
            </w:rPr>
          </w:pPr>
        </w:p>
        <w:p w:rsidR="009B0C26" w:rsidRDefault="009B0C26" w:rsidP="00DB03B6">
          <w:pPr>
            <w:pStyle w:val="NoSpacing"/>
            <w:rPr>
              <w:rFonts w:asciiTheme="majorHAnsi" w:eastAsiaTheme="majorEastAsia" w:hAnsiTheme="majorHAnsi" w:cstheme="majorBidi"/>
              <w:sz w:val="36"/>
              <w:szCs w:val="36"/>
            </w:rPr>
          </w:pPr>
        </w:p>
        <w:p w:rsidR="009B0C26" w:rsidRDefault="009B0C26" w:rsidP="00DB03B6">
          <w:pPr>
            <w:pStyle w:val="NoSpacing"/>
          </w:pPr>
        </w:p>
        <w:sdt>
          <w:sdtPr>
            <w:alias w:val="Company"/>
            <w:id w:val="14700089"/>
            <w:placeholder>
              <w:docPart w:val="BDCD155FA7944D198D14DB78A41D1114"/>
            </w:placeholder>
            <w:dataBinding w:prefixMappings="xmlns:ns0='http://schemas.openxmlformats.org/officeDocument/2006/extended-properties'" w:xpath="/ns0:Properties[1]/ns0:Company[1]" w:storeItemID="{6668398D-A668-4E3E-A5EB-62B293D839F1}"/>
            <w:text/>
          </w:sdtPr>
          <w:sdtEndPr/>
          <w:sdtContent>
            <w:p w:rsidR="009B0C26" w:rsidRDefault="009B0C26" w:rsidP="00DB03B6">
              <w:pPr>
                <w:pStyle w:val="NoSpacing"/>
              </w:pPr>
              <w:r>
                <w:t>Microsoft</w:t>
              </w:r>
            </w:p>
          </w:sdtContent>
        </w:sdt>
        <w:sdt>
          <w:sdtPr>
            <w:alias w:val="Author"/>
            <w:id w:val="14700094"/>
            <w:dataBinding w:prefixMappings="xmlns:ns0='http://schemas.openxmlformats.org/package/2006/metadata/core-properties' xmlns:ns1='http://purl.org/dc/elements/1.1/'" w:xpath="/ns0:coreProperties[1]/ns1:creator[1]" w:storeItemID="{6C3C8BC8-F283-45AE-878A-BAB7291924A1}"/>
            <w:text/>
          </w:sdtPr>
          <w:sdtEndPr/>
          <w:sdtContent>
            <w:p w:rsidR="009B0C26" w:rsidRDefault="009B0C26" w:rsidP="00DB03B6">
              <w:pPr>
                <w:pStyle w:val="NoSpacing"/>
              </w:pPr>
              <w:r>
                <w:t>Nadi Chel Ko</w:t>
              </w:r>
            </w:p>
          </w:sdtContent>
        </w:sdt>
        <w:p w:rsidR="009B0C26" w:rsidRDefault="009B0C26" w:rsidP="009B0C26">
          <w:pPr>
            <w:jc w:val="center"/>
            <w:rPr>
              <w:b/>
              <w:sz w:val="24"/>
              <w:szCs w:val="24"/>
              <w:u w:val="single"/>
            </w:rPr>
          </w:pPr>
          <w:r>
            <w:rPr>
              <w:b/>
              <w:sz w:val="24"/>
              <w:szCs w:val="24"/>
              <w:u w:val="single"/>
            </w:rPr>
            <w:br w:type="page"/>
          </w:r>
        </w:p>
      </w:sdtContent>
    </w:sdt>
    <w:p w:rsidR="009B0C26" w:rsidRPr="00275D87" w:rsidRDefault="009B0C26" w:rsidP="009B0C26">
      <w:pPr>
        <w:pStyle w:val="Heading1"/>
        <w:spacing w:before="0" w:line="480" w:lineRule="auto"/>
        <w:jc w:val="center"/>
        <w:rPr>
          <w:rFonts w:ascii="Times New Roman" w:hAnsi="Times New Roman" w:cs="Times New Roman"/>
          <w:color w:val="auto"/>
          <w:sz w:val="24"/>
          <w:szCs w:val="24"/>
        </w:rPr>
      </w:pPr>
      <w:r w:rsidRPr="00275D87">
        <w:rPr>
          <w:rFonts w:ascii="Times New Roman" w:hAnsi="Times New Roman" w:cs="Times New Roman"/>
          <w:color w:val="auto"/>
          <w:sz w:val="24"/>
          <w:szCs w:val="24"/>
        </w:rPr>
        <w:lastRenderedPageBreak/>
        <w:t>Executive Summary</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This compliance management system plan sets out the compliance approaches of Charity Care to help improve its compliance management strategies and obligations as well as mitigate the risks. This plan is an integral of Charity Care’s risk management strategy and complemented by various policies. Monitoring has become a significant expectation of ethics and compliance management in most organizations today. Monitoring strategies require the organization to undertake the first reasonable steps to ensure that its departments comply with the regulations and policy guidelines set for companies of its category. Through this monitoring plan, Charity Care will be able to detect criminal conduct and design early strategies to help reduce the risks that may be incurred in case there is misconduct found.</w:t>
      </w:r>
    </w:p>
    <w:p w:rsidR="009B0C26" w:rsidRPr="00275D87" w:rsidRDefault="009B0C26" w:rsidP="009B0C26">
      <w:pPr>
        <w:pStyle w:val="Heading1"/>
        <w:spacing w:before="0" w:line="480" w:lineRule="auto"/>
        <w:jc w:val="center"/>
        <w:rPr>
          <w:rFonts w:ascii="Times New Roman" w:hAnsi="Times New Roman" w:cs="Times New Roman"/>
          <w:color w:val="auto"/>
          <w:sz w:val="24"/>
          <w:szCs w:val="24"/>
        </w:rPr>
      </w:pPr>
      <w:r w:rsidRPr="00275D87">
        <w:rPr>
          <w:rFonts w:ascii="Times New Roman" w:hAnsi="Times New Roman" w:cs="Times New Roman"/>
          <w:color w:val="auto"/>
          <w:sz w:val="24"/>
          <w:szCs w:val="24"/>
        </w:rPr>
        <w:t>Establishment of System</w:t>
      </w:r>
    </w:p>
    <w:p w:rsidR="009B0C26" w:rsidRPr="00275D87" w:rsidRDefault="009B0C26" w:rsidP="009B0C26">
      <w:pPr>
        <w:spacing w:after="0" w:line="480" w:lineRule="auto"/>
        <w:rPr>
          <w:rFonts w:ascii="Times New Roman" w:hAnsi="Times New Roman" w:cs="Times New Roman"/>
          <w:sz w:val="24"/>
          <w:szCs w:val="24"/>
        </w:rPr>
      </w:pPr>
      <w:r w:rsidRPr="00275D87">
        <w:rPr>
          <w:rFonts w:ascii="Times New Roman" w:hAnsi="Times New Roman" w:cs="Times New Roman"/>
          <w:sz w:val="24"/>
          <w:szCs w:val="24"/>
        </w:rPr>
        <w:t>Compliance monitoring will help Charity Care to achieve the following:</w:t>
      </w:r>
    </w:p>
    <w:p w:rsidR="009B0C26" w:rsidRPr="00275D87" w:rsidRDefault="009B0C26" w:rsidP="009B0C26">
      <w:pPr>
        <w:spacing w:after="0" w:line="480" w:lineRule="auto"/>
        <w:rPr>
          <w:rFonts w:ascii="Times New Roman" w:hAnsi="Times New Roman" w:cs="Times New Roman"/>
          <w:sz w:val="24"/>
          <w:szCs w:val="24"/>
        </w:rPr>
      </w:pPr>
      <w:r w:rsidRPr="00275D87">
        <w:rPr>
          <w:rFonts w:ascii="Times New Roman" w:hAnsi="Times New Roman" w:cs="Times New Roman"/>
          <w:sz w:val="24"/>
          <w:szCs w:val="24"/>
        </w:rPr>
        <w:t>-Measure its progress regarding compliance management across the departments</w:t>
      </w:r>
    </w:p>
    <w:p w:rsidR="009B0C26" w:rsidRPr="00275D87" w:rsidRDefault="009B0C26" w:rsidP="009B0C26">
      <w:pPr>
        <w:spacing w:after="0" w:line="480" w:lineRule="auto"/>
        <w:rPr>
          <w:rFonts w:ascii="Times New Roman" w:hAnsi="Times New Roman" w:cs="Times New Roman"/>
          <w:sz w:val="24"/>
          <w:szCs w:val="24"/>
        </w:rPr>
      </w:pPr>
      <w:r w:rsidRPr="00275D87">
        <w:rPr>
          <w:rFonts w:ascii="Times New Roman" w:hAnsi="Times New Roman" w:cs="Times New Roman"/>
          <w:sz w:val="24"/>
          <w:szCs w:val="24"/>
        </w:rPr>
        <w:t>-Determine whether the company is achieving its compliance goals and objectives</w:t>
      </w:r>
    </w:p>
    <w:p w:rsidR="009B0C26" w:rsidRPr="00275D87" w:rsidRDefault="009B0C26" w:rsidP="009B0C26">
      <w:pPr>
        <w:spacing w:after="0" w:line="480" w:lineRule="auto"/>
        <w:rPr>
          <w:rFonts w:ascii="Times New Roman" w:hAnsi="Times New Roman" w:cs="Times New Roman"/>
          <w:sz w:val="24"/>
          <w:szCs w:val="24"/>
        </w:rPr>
      </w:pPr>
      <w:r w:rsidRPr="00275D87">
        <w:rPr>
          <w:rFonts w:ascii="Times New Roman" w:hAnsi="Times New Roman" w:cs="Times New Roman"/>
          <w:sz w:val="24"/>
          <w:szCs w:val="24"/>
        </w:rPr>
        <w:t>-Help in reviewing the effectiveness of the compliance management system in Charity Care</w:t>
      </w:r>
    </w:p>
    <w:p w:rsidR="009B0C26" w:rsidRPr="00275D87" w:rsidRDefault="009B0C26" w:rsidP="009B0C26">
      <w:pPr>
        <w:spacing w:after="0" w:line="480" w:lineRule="auto"/>
        <w:rPr>
          <w:rFonts w:ascii="Times New Roman" w:hAnsi="Times New Roman" w:cs="Times New Roman"/>
          <w:sz w:val="24"/>
          <w:szCs w:val="24"/>
        </w:rPr>
      </w:pPr>
      <w:r w:rsidRPr="00275D87">
        <w:rPr>
          <w:rFonts w:ascii="Times New Roman" w:hAnsi="Times New Roman" w:cs="Times New Roman"/>
          <w:sz w:val="24"/>
          <w:szCs w:val="24"/>
        </w:rPr>
        <w:t>-Help in identifying the compliance issues and incidents to enable management design control measures and strategies</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This compliance management system will be implemented in three steps as described below. The first step involves first-line management where the senior management like the CEO and the managers carry out frequent monitoring and oversight. This will ensure that the organization is compliant and every department adheres to the policies and procedures effectively as expected. The success of this oversight and monitoring role will depend on the ability of the senior management to undertake their responsibilities effectively. To achieve this objective, Charity Care senior management will need tools such as checklists and attestations. The compliance management system can be effective if the first-line management is effective and responsive.</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lastRenderedPageBreak/>
        <w:t>Secondly, this compliance management system will be implemented through second-line compliance where the organization will engage in regular monitoring of the compliance management system. For example, the management will be able to determine whether the compliance activities and framework, as well as other related policies and regulations, are being adhered to.</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The third step involves auditing in which Charity Care management will evaluate and determine the adequacy and effectiveness of the first and second-line management steps as well as tracks the results and progress. This step aims to provide the key stakeholders like the executives and board of directors with the proof of confidence that management controls and end-risk identification strategies put in place are operating well.</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Monitoring and auditing are two different concepts even though most people prefer to use them interchangeably. Monitoring occurs within the activity’s operational structure. Sometimes, monitoring can be conducted by operational management or even undertaken by a firm outside the organization whose line of operations does not exist within the existing management structure. Auditing, on the other hand, refers to the activities that happen after the fact and it is mostly undertaken by parties that are independent of the operational management of the organization (Lunday, 2010). Examples of monitoring activities can include pre-activity approvals, transaction reviews, review of in-process quality checks and outcome data (Lunday, 2010). The main difference between auditing and monitoring is that monitoring occurs before the problem emerges and audit happens after. However, the organization can use its audited report to create a monitoring strategy or system after identifying where the problem is. For example, in the case of Charity Care, non-compliance with the regulations and systems has been identified as the main problem and this compliance management system serves as a preventive measure to prevent problems that may face the company if it does not adhere to the regulations.</w:t>
      </w:r>
    </w:p>
    <w:p w:rsidR="009B0C26" w:rsidRPr="00275D87" w:rsidRDefault="009B0C26" w:rsidP="009B0C26">
      <w:pPr>
        <w:pStyle w:val="Heading1"/>
        <w:spacing w:before="0" w:line="480" w:lineRule="auto"/>
        <w:jc w:val="center"/>
        <w:rPr>
          <w:rFonts w:ascii="Times New Roman" w:hAnsi="Times New Roman" w:cs="Times New Roman"/>
          <w:color w:val="auto"/>
          <w:sz w:val="24"/>
          <w:szCs w:val="24"/>
        </w:rPr>
      </w:pPr>
      <w:r w:rsidRPr="00275D87">
        <w:rPr>
          <w:rFonts w:ascii="Times New Roman" w:hAnsi="Times New Roman" w:cs="Times New Roman"/>
          <w:color w:val="auto"/>
          <w:sz w:val="24"/>
          <w:szCs w:val="24"/>
        </w:rPr>
        <w:lastRenderedPageBreak/>
        <w:t>Monitoring Methodology</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The performance of this compliance management system will be monitored through the following methodologies and approaches:</w:t>
      </w:r>
    </w:p>
    <w:p w:rsidR="009B0C26" w:rsidRPr="00275D87" w:rsidRDefault="009B0C26" w:rsidP="009B0C26">
      <w:pPr>
        <w:pStyle w:val="Heading2"/>
        <w:spacing w:before="0" w:line="480" w:lineRule="auto"/>
        <w:rPr>
          <w:rFonts w:ascii="Times New Roman" w:hAnsi="Times New Roman" w:cs="Times New Roman"/>
          <w:color w:val="auto"/>
          <w:sz w:val="24"/>
          <w:szCs w:val="24"/>
        </w:rPr>
      </w:pPr>
      <w:r w:rsidRPr="00275D87">
        <w:rPr>
          <w:rFonts w:ascii="Times New Roman" w:hAnsi="Times New Roman" w:cs="Times New Roman"/>
          <w:color w:val="auto"/>
          <w:sz w:val="24"/>
          <w:szCs w:val="24"/>
        </w:rPr>
        <w:t>1.      Annual Planning Methodology</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The annual planning methodology involves the assessment of key documentation and files like financial accounts, accounting books, and inventory records. Annual planning methodology is undertaken at the end of the year in which the organization checks whether the departments have been operating within the guidelines required. This method requires regular assessment of the regulatory documentation including business plans, consultation papers, and finalized guidance. Each department can submit their documentation for monitoring. This method is risk-based and it is therefore important to emphasize the areas that have shown greater risks. In the case of Charity Care, the auditor report shows that the areas that are prone to risk include cash handling and inventory stock list. Focusing on these areas will ensure that the organization directs its resources to the areas that need more attention. It also ensures that the organization deploys its resources to good effect.</w:t>
      </w:r>
    </w:p>
    <w:p w:rsidR="009B0C26" w:rsidRPr="00275D87" w:rsidRDefault="009B0C26" w:rsidP="009B0C26">
      <w:pPr>
        <w:pStyle w:val="Heading2"/>
        <w:spacing w:before="0" w:line="480" w:lineRule="auto"/>
        <w:rPr>
          <w:rFonts w:ascii="Times New Roman" w:hAnsi="Times New Roman" w:cs="Times New Roman"/>
          <w:color w:val="auto"/>
          <w:sz w:val="24"/>
          <w:szCs w:val="24"/>
        </w:rPr>
      </w:pPr>
      <w:r w:rsidRPr="00275D87">
        <w:rPr>
          <w:rFonts w:ascii="Times New Roman" w:hAnsi="Times New Roman" w:cs="Times New Roman"/>
          <w:color w:val="auto"/>
          <w:sz w:val="24"/>
          <w:szCs w:val="24"/>
        </w:rPr>
        <w:t>2.      Compliance Monitoring Reviews</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This methodology relies on the organization’s ability to take note of the important events that happen in the organization. This approach involves reviewing customer outcomes or feedback and core compliance. Unlike the previous approach that is undertaken annually, the compliance monitoring review approach is effective because it is undertaken regularly; for instance, quarterly.</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 xml:space="preserve">Despite the monitoring approach used, it is important to note that Charity Care must understand and set its own monitoring goals, which will guide how the monitoring system works. These goals are important because they show and guide the organization on the expected outcomes and how they occur. Therefore, the above two monitoring methods can be an effective tool in identifying, reviewing, and determining how the organization handles its diverse expectations and </w:t>
      </w:r>
      <w:r w:rsidRPr="00275D87">
        <w:rPr>
          <w:rFonts w:ascii="Times New Roman" w:hAnsi="Times New Roman" w:cs="Times New Roman"/>
          <w:sz w:val="24"/>
          <w:szCs w:val="24"/>
        </w:rPr>
        <w:lastRenderedPageBreak/>
        <w:t>risks that may not have been initially identified in the management plans. As the organization changes, variations are always expected to occur and as such, Charity Care needs a good process to capture and handle its non-compliance problems. For example, from the case study, the above monitoring methods can help in identifying any intentional deviations and criminal conduct; for example, when an employee seeks to deviate from the defined guidelines of operations for his or her own benefits. Like in the case study, some deviations have been identified including non-compliance to record-keeping, especially regarding sales and purchases.</w:t>
      </w:r>
    </w:p>
    <w:p w:rsidR="009B0C26" w:rsidRPr="00275D87" w:rsidRDefault="009B0C26" w:rsidP="009B0C26">
      <w:pPr>
        <w:pStyle w:val="Heading1"/>
        <w:spacing w:before="0" w:line="480" w:lineRule="auto"/>
        <w:jc w:val="center"/>
        <w:rPr>
          <w:rFonts w:ascii="Times New Roman" w:hAnsi="Times New Roman" w:cs="Times New Roman"/>
          <w:color w:val="auto"/>
          <w:sz w:val="24"/>
          <w:szCs w:val="24"/>
        </w:rPr>
      </w:pPr>
      <w:r w:rsidRPr="00275D87">
        <w:rPr>
          <w:rFonts w:ascii="Times New Roman" w:hAnsi="Times New Roman" w:cs="Times New Roman"/>
          <w:color w:val="auto"/>
          <w:sz w:val="24"/>
          <w:szCs w:val="24"/>
        </w:rPr>
        <w:t>Results and Analysis</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Based on the monitoring activities identified from Charity Case, the following results were noted.</w:t>
      </w:r>
    </w:p>
    <w:p w:rsidR="009B0C26" w:rsidRPr="00275D87" w:rsidRDefault="009B0C26" w:rsidP="009B0C26">
      <w:pPr>
        <w:pStyle w:val="Heading2"/>
        <w:spacing w:before="0" w:line="480" w:lineRule="auto"/>
        <w:rPr>
          <w:rFonts w:ascii="Times New Roman" w:hAnsi="Times New Roman" w:cs="Times New Roman"/>
          <w:color w:val="auto"/>
          <w:sz w:val="24"/>
          <w:szCs w:val="24"/>
        </w:rPr>
      </w:pPr>
      <w:r w:rsidRPr="00275D87">
        <w:rPr>
          <w:rFonts w:ascii="Times New Roman" w:hAnsi="Times New Roman" w:cs="Times New Roman"/>
          <w:color w:val="auto"/>
          <w:sz w:val="24"/>
          <w:szCs w:val="24"/>
        </w:rPr>
        <w:t>1.      Number of Activity’s Transactions</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From the case study, we noted that there were fewer transactions, especially those that were recorded in the organization’s official record book. This explains the findings highlighted in the case study; for instance, the disagreements between the repair payments from customers and total receipts issued by the organization. There were also some inaccuracies noted with the computer stocks in the retail store. This can be associated with a reduced or decreased number of activities. As a company that operates with more than a capital of more than 1 million dollars annually, such deviations are not expected to occur.</w:t>
      </w:r>
    </w:p>
    <w:p w:rsidR="009B0C26" w:rsidRPr="00275D87" w:rsidRDefault="009B0C26" w:rsidP="009B0C26">
      <w:pPr>
        <w:pStyle w:val="Heading2"/>
        <w:spacing w:before="0" w:line="480" w:lineRule="auto"/>
        <w:rPr>
          <w:rFonts w:ascii="Times New Roman" w:hAnsi="Times New Roman" w:cs="Times New Roman"/>
          <w:color w:val="auto"/>
          <w:sz w:val="24"/>
          <w:szCs w:val="24"/>
        </w:rPr>
      </w:pPr>
      <w:r w:rsidRPr="00275D87">
        <w:rPr>
          <w:rFonts w:ascii="Times New Roman" w:hAnsi="Times New Roman" w:cs="Times New Roman"/>
          <w:color w:val="auto"/>
          <w:sz w:val="24"/>
          <w:szCs w:val="24"/>
        </w:rPr>
        <w:t>2.      Ease of Monitoring</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 xml:space="preserve">Based on the audit report, it is clear that there is no ease of monitoring. The management has not been able to employ strategies to expedite monitoring systems because some of the management members are involved in non-compliance cases. For example, the case study shows that about 40% of the computer spare parts are bought from a business that is owned by the warehouse manager’s family member. If the management that should be responsible for compliance management system </w:t>
      </w:r>
      <w:r w:rsidRPr="00275D87">
        <w:rPr>
          <w:rFonts w:ascii="Times New Roman" w:hAnsi="Times New Roman" w:cs="Times New Roman"/>
          <w:sz w:val="24"/>
          <w:szCs w:val="24"/>
        </w:rPr>
        <w:lastRenderedPageBreak/>
        <w:t>implementation is involved in such non-compliance cases, it is difficult to realize monitoring goals as it should.</w:t>
      </w:r>
    </w:p>
    <w:p w:rsidR="009B0C26" w:rsidRPr="00275D87" w:rsidRDefault="009B0C26" w:rsidP="009B0C26">
      <w:pPr>
        <w:pStyle w:val="Heading2"/>
        <w:spacing w:before="0" w:line="480" w:lineRule="auto"/>
        <w:rPr>
          <w:rFonts w:ascii="Times New Roman" w:hAnsi="Times New Roman" w:cs="Times New Roman"/>
          <w:color w:val="auto"/>
          <w:sz w:val="24"/>
          <w:szCs w:val="24"/>
        </w:rPr>
      </w:pPr>
      <w:r w:rsidRPr="00275D87">
        <w:rPr>
          <w:rFonts w:ascii="Times New Roman" w:hAnsi="Times New Roman" w:cs="Times New Roman"/>
          <w:color w:val="auto"/>
          <w:sz w:val="24"/>
          <w:szCs w:val="24"/>
        </w:rPr>
        <w:t>3.      The Risk of Non-Compliance</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Charity Care is exposed to a wide range of non-compliance risks due to the high likelihood and seriousness of non-compliance cases noted. Audit on the inventory and cheque books shows that there is a serious problem with the current risk management system. A cheque was paid to purchase cheap computers for about $2, 300 but there is no evidence that shows that the goods purchased were received. The disagreements between the accounts payable and account receivable shows the likelihood of non-compliance risks. The response from the managers concerned with the departments shows that they are not aware of the serious consequences of non-compliance and they are more likely to encourage such pre-transaction approvals. Therefore, there is a need for monitoring of all the transactions that occur in the organization whether it is purchasing or selling products.</w:t>
      </w:r>
    </w:p>
    <w:p w:rsidR="009B0C26" w:rsidRPr="00275D87" w:rsidRDefault="009B0C26" w:rsidP="009B0C26">
      <w:pPr>
        <w:pStyle w:val="Heading1"/>
        <w:spacing w:before="0" w:line="480" w:lineRule="auto"/>
        <w:jc w:val="center"/>
        <w:rPr>
          <w:rFonts w:ascii="Times New Roman" w:hAnsi="Times New Roman" w:cs="Times New Roman"/>
          <w:color w:val="auto"/>
          <w:sz w:val="24"/>
          <w:szCs w:val="24"/>
        </w:rPr>
      </w:pPr>
      <w:r w:rsidRPr="00275D87">
        <w:rPr>
          <w:rFonts w:ascii="Times New Roman" w:hAnsi="Times New Roman" w:cs="Times New Roman"/>
          <w:color w:val="auto"/>
          <w:sz w:val="24"/>
          <w:szCs w:val="24"/>
        </w:rPr>
        <w:t>Conclusion</w:t>
      </w:r>
    </w:p>
    <w:p w:rsidR="009B0C26" w:rsidRPr="00275D87" w:rsidRDefault="009B0C26" w:rsidP="009B0C26">
      <w:pPr>
        <w:spacing w:after="0" w:line="480" w:lineRule="auto"/>
        <w:ind w:firstLine="720"/>
        <w:rPr>
          <w:rFonts w:ascii="Times New Roman" w:hAnsi="Times New Roman" w:cs="Times New Roman"/>
          <w:sz w:val="24"/>
          <w:szCs w:val="24"/>
        </w:rPr>
      </w:pPr>
      <w:r w:rsidRPr="00275D87">
        <w:rPr>
          <w:rFonts w:ascii="Times New Roman" w:hAnsi="Times New Roman" w:cs="Times New Roman"/>
          <w:sz w:val="24"/>
          <w:szCs w:val="24"/>
        </w:rPr>
        <w:t xml:space="preserve">Monitoring is a separate and independent activity that must be performed in the organization to ensure that every department works in line with the set of guidelines and regulations. As explained in this monitoring plan, all the determinants must be considered, but they must be selected according to the underlying activity. Even though monitoring is different from auditing, but for effective compliance to be achieved, both of them must be integrated and implemented in complementary to each other. When implemented in complementary to each other both auditing and monitoring can benefit the organization because auditing findings are used to correct or improve the compliance process. Since monitoring is part of corrective measures that an organization can take to ensure that it improves its compliance systems. Monitoring provides the organization with valuable benefits that range from operations’ correction to improvement of processes. Consequently, </w:t>
      </w:r>
      <w:r w:rsidRPr="00275D87">
        <w:rPr>
          <w:rFonts w:ascii="Times New Roman" w:hAnsi="Times New Roman" w:cs="Times New Roman"/>
          <w:sz w:val="24"/>
          <w:szCs w:val="24"/>
        </w:rPr>
        <w:lastRenderedPageBreak/>
        <w:t>auditing offers the same benefits to monitoring; thus, when used in a complementary approach, they can bring significant benefits to the organization.</w:t>
      </w:r>
    </w:p>
    <w:p w:rsidR="009B0C26" w:rsidRPr="00275D87" w:rsidRDefault="009B0C26" w:rsidP="009B0C26">
      <w:pPr>
        <w:pStyle w:val="Heading1"/>
        <w:spacing w:before="0" w:line="480" w:lineRule="auto"/>
        <w:jc w:val="center"/>
        <w:rPr>
          <w:color w:val="auto"/>
        </w:rPr>
      </w:pPr>
    </w:p>
    <w:p w:rsidR="009B0C26" w:rsidRDefault="009B0C26" w:rsidP="009B0C26">
      <w:pPr>
        <w:pStyle w:val="Heading1"/>
        <w:spacing w:before="0" w:line="480" w:lineRule="auto"/>
        <w:jc w:val="center"/>
        <w:rPr>
          <w:color w:val="auto"/>
        </w:rPr>
      </w:pPr>
    </w:p>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Default="009B0C26" w:rsidP="009B0C26"/>
    <w:p w:rsidR="009B0C26" w:rsidRPr="00275D87" w:rsidRDefault="009B0C26" w:rsidP="009B0C26"/>
    <w:p w:rsidR="009B0C26" w:rsidRPr="00275D87" w:rsidRDefault="009B0C26" w:rsidP="009B0C26">
      <w:pPr>
        <w:pStyle w:val="Heading1"/>
        <w:spacing w:before="0" w:line="480" w:lineRule="auto"/>
        <w:jc w:val="center"/>
        <w:rPr>
          <w:b w:val="0"/>
          <w:color w:val="auto"/>
        </w:rPr>
      </w:pPr>
      <w:r w:rsidRPr="00275D87">
        <w:rPr>
          <w:b w:val="0"/>
          <w:color w:val="auto"/>
        </w:rPr>
        <w:lastRenderedPageBreak/>
        <w:t>Reference</w:t>
      </w:r>
    </w:p>
    <w:p w:rsidR="009B0C26" w:rsidRPr="00275D87" w:rsidRDefault="009B0C26" w:rsidP="009B0C26">
      <w:pPr>
        <w:spacing w:after="0" w:line="480" w:lineRule="auto"/>
        <w:ind w:left="720" w:hanging="720"/>
        <w:rPr>
          <w:rFonts w:ascii="Times New Roman" w:hAnsi="Times New Roman" w:cs="Times New Roman"/>
          <w:sz w:val="24"/>
          <w:szCs w:val="24"/>
        </w:rPr>
      </w:pPr>
      <w:r w:rsidRPr="00275D87">
        <w:rPr>
          <w:rFonts w:ascii="Times New Roman" w:hAnsi="Times New Roman" w:cs="Times New Roman"/>
          <w:sz w:val="24"/>
          <w:szCs w:val="24"/>
        </w:rPr>
        <w:t xml:space="preserve">Lunday, J. (2010 July, 29). “Monitoring for Compliance.” </w:t>
      </w:r>
      <w:r w:rsidRPr="00275D87">
        <w:rPr>
          <w:rFonts w:ascii="Times New Roman" w:hAnsi="Times New Roman" w:cs="Times New Roman"/>
          <w:i/>
          <w:sz w:val="24"/>
          <w:szCs w:val="24"/>
        </w:rPr>
        <w:t>Corporate Compliance Insights.</w:t>
      </w:r>
      <w:r w:rsidRPr="00275D87">
        <w:rPr>
          <w:rFonts w:ascii="Times New Roman" w:hAnsi="Times New Roman" w:cs="Times New Roman"/>
          <w:sz w:val="24"/>
          <w:szCs w:val="24"/>
        </w:rPr>
        <w:t xml:space="preserve"> Retrieved from </w:t>
      </w:r>
      <w:hyperlink r:id="rId7" w:history="1">
        <w:r w:rsidRPr="00275D87">
          <w:rPr>
            <w:rStyle w:val="Hyperlink"/>
            <w:rFonts w:ascii="Times New Roman" w:hAnsi="Times New Roman" w:cs="Times New Roman"/>
            <w:color w:val="auto"/>
            <w:sz w:val="24"/>
            <w:szCs w:val="24"/>
            <w:u w:val="none"/>
          </w:rPr>
          <w:t>https://www.corporatecomplianceinsights.com/compliance-monitoring-strategic-approach/</w:t>
        </w:r>
      </w:hyperlink>
    </w:p>
    <w:p w:rsidR="009B0C26" w:rsidRPr="009B0C26" w:rsidRDefault="009B0C26" w:rsidP="009B0C26">
      <w:pPr>
        <w:rPr>
          <w:sz w:val="24"/>
          <w:szCs w:val="24"/>
        </w:rPr>
      </w:pPr>
    </w:p>
    <w:p w:rsidR="009B0C26" w:rsidRDefault="009B0C26" w:rsidP="009B0C26">
      <w:pPr>
        <w:rPr>
          <w:b/>
          <w:sz w:val="24"/>
          <w:szCs w:val="24"/>
          <w:u w:val="single"/>
        </w:rPr>
      </w:pPr>
    </w:p>
    <w:p w:rsidR="009B0C26" w:rsidRDefault="009B0C26" w:rsidP="009B0C26">
      <w:pPr>
        <w:rPr>
          <w:b/>
          <w:sz w:val="24"/>
          <w:szCs w:val="24"/>
          <w:u w:val="single"/>
        </w:rPr>
      </w:pPr>
    </w:p>
    <w:sectPr w:rsidR="009B0C26" w:rsidSect="00D5658B">
      <w:headerReference w:type="default" r:id="rId8"/>
      <w:footerReference w:type="default" r:id="rId9"/>
      <w:pgSz w:w="11906" w:h="16838"/>
      <w:pgMar w:top="1440" w:right="1134" w:bottom="1440"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F10" w:rsidRDefault="005F7F10" w:rsidP="009B0C26">
      <w:pPr>
        <w:spacing w:after="0" w:line="240" w:lineRule="auto"/>
      </w:pPr>
      <w:r>
        <w:separator/>
      </w:r>
    </w:p>
  </w:endnote>
  <w:endnote w:type="continuationSeparator" w:id="0">
    <w:p w:rsidR="005F7F10" w:rsidRDefault="005F7F10" w:rsidP="009B0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58B" w:rsidRDefault="0018304A">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NADI CHEL KO</w:t>
    </w:r>
    <w:r w:rsidR="009B0C26">
      <w:rPr>
        <w:rFonts w:asciiTheme="majorHAnsi" w:eastAsiaTheme="majorEastAsia" w:hAnsiTheme="majorHAnsi" w:cstheme="majorBidi"/>
      </w:rPr>
      <w:t xml:space="preserve"> </w:t>
    </w:r>
    <w:r>
      <w:rPr>
        <w:rFonts w:asciiTheme="majorHAnsi" w:eastAsiaTheme="majorEastAsia" w:hAnsiTheme="majorHAnsi" w:cstheme="majorBidi"/>
      </w:rPr>
      <w:t>(S13350)</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CC1533" w:rsidRPr="00CC1533">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D5658B" w:rsidRDefault="005F7F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F10" w:rsidRDefault="005F7F10" w:rsidP="009B0C26">
      <w:pPr>
        <w:spacing w:after="0" w:line="240" w:lineRule="auto"/>
      </w:pPr>
      <w:r>
        <w:separator/>
      </w:r>
    </w:p>
  </w:footnote>
  <w:footnote w:type="continuationSeparator" w:id="0">
    <w:p w:rsidR="005F7F10" w:rsidRDefault="005F7F10" w:rsidP="009B0C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D5658B" w:rsidRDefault="009B0C26">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US"/>
          </w:rPr>
          <w:t>Compliance Monitoring and Review</w:t>
        </w:r>
      </w:p>
    </w:sdtContent>
  </w:sdt>
  <w:p w:rsidR="00D5658B" w:rsidRDefault="005F7F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70AC46"/>
    <w:lvl w:ilvl="0">
      <w:start w:val="1"/>
      <w:numFmt w:val="bullet"/>
      <w:lvlText w:val=""/>
      <w:lvlJc w:val="left"/>
      <w:pPr>
        <w:tabs>
          <w:tab w:val="num" w:pos="360"/>
        </w:tabs>
        <w:ind w:left="360" w:hanging="360"/>
      </w:pPr>
      <w:rPr>
        <w:rFonts w:ascii="Symbol" w:hAnsi="Symbol" w:hint="default"/>
      </w:rPr>
    </w:lvl>
  </w:abstractNum>
  <w:abstractNum w:abstractNumId="1">
    <w:nsid w:val="0653521A"/>
    <w:multiLevelType w:val="hybridMultilevel"/>
    <w:tmpl w:val="CAAA6BB6"/>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C91243"/>
    <w:multiLevelType w:val="hybridMultilevel"/>
    <w:tmpl w:val="5F4A37C8"/>
    <w:lvl w:ilvl="0" w:tplc="CBD897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8462CFD"/>
    <w:multiLevelType w:val="hybridMultilevel"/>
    <w:tmpl w:val="340C2788"/>
    <w:lvl w:ilvl="0" w:tplc="04090009">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16089F"/>
    <w:multiLevelType w:val="multilevel"/>
    <w:tmpl w:val="D01C3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2642FB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FFD6A18"/>
    <w:multiLevelType w:val="hybridMultilevel"/>
    <w:tmpl w:val="A51CB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6540B3"/>
    <w:multiLevelType w:val="hybridMultilevel"/>
    <w:tmpl w:val="58009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02549F"/>
    <w:multiLevelType w:val="hybridMultilevel"/>
    <w:tmpl w:val="349A63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56A5FC5"/>
    <w:multiLevelType w:val="hybridMultilevel"/>
    <w:tmpl w:val="33D25C4C"/>
    <w:lvl w:ilvl="0" w:tplc="30B6002E">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C9B13D2"/>
    <w:multiLevelType w:val="hybridMultilevel"/>
    <w:tmpl w:val="FB2C9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6"/>
  </w:num>
  <w:num w:numId="5">
    <w:abstractNumId w:val="7"/>
  </w:num>
  <w:num w:numId="6">
    <w:abstractNumId w:val="10"/>
  </w:num>
  <w:num w:numId="7">
    <w:abstractNumId w:val="2"/>
  </w:num>
  <w:num w:numId="8">
    <w:abstractNumId w:val="8"/>
  </w:num>
  <w:num w:numId="9">
    <w:abstractNumId w:val="1"/>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C26"/>
    <w:rsid w:val="0006420A"/>
    <w:rsid w:val="0018304A"/>
    <w:rsid w:val="005F7F10"/>
    <w:rsid w:val="009B0C26"/>
    <w:rsid w:val="00CC1533"/>
    <w:rsid w:val="00DB03B6"/>
    <w:rsid w:val="00E807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228EE-1956-4C5C-9C78-E517389C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C26"/>
    <w:rPr>
      <w:lang w:val="en-AU"/>
    </w:rPr>
  </w:style>
  <w:style w:type="paragraph" w:styleId="Heading1">
    <w:name w:val="heading 1"/>
    <w:basedOn w:val="Normal"/>
    <w:next w:val="Normal"/>
    <w:link w:val="Heading1Char"/>
    <w:uiPriority w:val="9"/>
    <w:qFormat/>
    <w:rsid w:val="009B0C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0C26"/>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C26"/>
    <w:rPr>
      <w:lang w:val="en-AU"/>
    </w:rPr>
  </w:style>
  <w:style w:type="paragraph" w:styleId="Footer">
    <w:name w:val="footer"/>
    <w:basedOn w:val="Normal"/>
    <w:link w:val="FooterChar"/>
    <w:uiPriority w:val="99"/>
    <w:unhideWhenUsed/>
    <w:rsid w:val="009B0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C26"/>
    <w:rPr>
      <w:lang w:val="en-AU"/>
    </w:rPr>
  </w:style>
  <w:style w:type="paragraph" w:styleId="ListParagraph">
    <w:name w:val="List Paragraph"/>
    <w:basedOn w:val="Normal"/>
    <w:link w:val="ListParagraphChar"/>
    <w:uiPriority w:val="34"/>
    <w:qFormat/>
    <w:rsid w:val="009B0C26"/>
    <w:pPr>
      <w:ind w:left="720"/>
      <w:contextualSpacing/>
    </w:pPr>
  </w:style>
  <w:style w:type="character" w:customStyle="1" w:styleId="Heading1Char">
    <w:name w:val="Heading 1 Char"/>
    <w:basedOn w:val="DefaultParagraphFont"/>
    <w:link w:val="Heading1"/>
    <w:uiPriority w:val="9"/>
    <w:rsid w:val="009B0C26"/>
    <w:rPr>
      <w:rFonts w:asciiTheme="majorHAnsi" w:eastAsiaTheme="majorEastAsia" w:hAnsiTheme="majorHAnsi" w:cstheme="majorBidi"/>
      <w:b/>
      <w:bCs/>
      <w:color w:val="365F91" w:themeColor="accent1" w:themeShade="BF"/>
      <w:sz w:val="28"/>
      <w:szCs w:val="28"/>
      <w:lang w:val="en-AU"/>
    </w:rPr>
  </w:style>
  <w:style w:type="paragraph" w:styleId="TOCHeading">
    <w:name w:val="TOC Heading"/>
    <w:basedOn w:val="Heading1"/>
    <w:next w:val="Normal"/>
    <w:uiPriority w:val="39"/>
    <w:unhideWhenUsed/>
    <w:qFormat/>
    <w:rsid w:val="009B0C26"/>
    <w:pPr>
      <w:outlineLvl w:val="9"/>
    </w:pPr>
    <w:rPr>
      <w:lang w:val="en-US" w:eastAsia="ja-JP"/>
    </w:rPr>
  </w:style>
  <w:style w:type="paragraph" w:styleId="TOC1">
    <w:name w:val="toc 1"/>
    <w:basedOn w:val="Normal"/>
    <w:next w:val="Normal"/>
    <w:autoRedefine/>
    <w:uiPriority w:val="39"/>
    <w:unhideWhenUsed/>
    <w:rsid w:val="009B0C26"/>
    <w:pPr>
      <w:tabs>
        <w:tab w:val="left" w:pos="440"/>
        <w:tab w:val="right" w:leader="dot" w:pos="9060"/>
      </w:tabs>
      <w:spacing w:after="100" w:line="240" w:lineRule="auto"/>
    </w:pPr>
  </w:style>
  <w:style w:type="character" w:styleId="Hyperlink">
    <w:name w:val="Hyperlink"/>
    <w:basedOn w:val="DefaultParagraphFont"/>
    <w:uiPriority w:val="99"/>
    <w:unhideWhenUsed/>
    <w:rsid w:val="009B0C26"/>
    <w:rPr>
      <w:color w:val="0000FF" w:themeColor="hyperlink"/>
      <w:u w:val="single"/>
    </w:rPr>
  </w:style>
  <w:style w:type="table" w:styleId="TableGrid">
    <w:name w:val="Table Grid"/>
    <w:basedOn w:val="TableNormal"/>
    <w:uiPriority w:val="59"/>
    <w:rsid w:val="009B0C26"/>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unhideWhenUsed/>
    <w:rsid w:val="009B0C26"/>
    <w:pPr>
      <w:tabs>
        <w:tab w:val="left" w:pos="880"/>
        <w:tab w:val="right" w:leader="dot" w:pos="9016"/>
      </w:tabs>
      <w:spacing w:after="100"/>
      <w:ind w:left="142"/>
    </w:pPr>
  </w:style>
  <w:style w:type="paragraph" w:styleId="TOC3">
    <w:name w:val="toc 3"/>
    <w:basedOn w:val="Normal"/>
    <w:next w:val="Normal"/>
    <w:autoRedefine/>
    <w:uiPriority w:val="39"/>
    <w:unhideWhenUsed/>
    <w:rsid w:val="009B0C26"/>
    <w:pPr>
      <w:spacing w:after="100"/>
      <w:ind w:left="440"/>
    </w:pPr>
  </w:style>
  <w:style w:type="character" w:customStyle="1" w:styleId="ListParagraphChar">
    <w:name w:val="List Paragraph Char"/>
    <w:link w:val="ListParagraph"/>
    <w:uiPriority w:val="34"/>
    <w:rsid w:val="009B0C26"/>
    <w:rPr>
      <w:lang w:val="en-AU"/>
    </w:rPr>
  </w:style>
  <w:style w:type="paragraph" w:styleId="NoSpacing">
    <w:name w:val="No Spacing"/>
    <w:link w:val="NoSpacingChar"/>
    <w:uiPriority w:val="1"/>
    <w:qFormat/>
    <w:rsid w:val="009B0C26"/>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B0C26"/>
    <w:rPr>
      <w:rFonts w:eastAsiaTheme="minorEastAsia"/>
      <w:lang w:val="en-US" w:eastAsia="ja-JP"/>
    </w:rPr>
  </w:style>
  <w:style w:type="paragraph" w:styleId="BalloonText">
    <w:name w:val="Balloon Text"/>
    <w:basedOn w:val="Normal"/>
    <w:link w:val="BalloonTextChar"/>
    <w:uiPriority w:val="99"/>
    <w:semiHidden/>
    <w:unhideWhenUsed/>
    <w:rsid w:val="009B0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C26"/>
    <w:rPr>
      <w:rFonts w:ascii="Tahoma" w:hAnsi="Tahoma" w:cs="Tahoma"/>
      <w:sz w:val="16"/>
      <w:szCs w:val="16"/>
      <w:lang w:val="en-AU"/>
    </w:rPr>
  </w:style>
  <w:style w:type="character" w:customStyle="1" w:styleId="Heading2Char">
    <w:name w:val="Heading 2 Char"/>
    <w:basedOn w:val="DefaultParagraphFont"/>
    <w:link w:val="Heading2"/>
    <w:uiPriority w:val="9"/>
    <w:rsid w:val="009B0C2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rporatecomplianceinsights.com/compliance-monitoring-strategic-approa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4A2BC1B556746C98C04843B4ADA2EA8"/>
        <w:category>
          <w:name w:val="General"/>
          <w:gallery w:val="placeholder"/>
        </w:category>
        <w:types>
          <w:type w:val="bbPlcHdr"/>
        </w:types>
        <w:behaviors>
          <w:behavior w:val="content"/>
        </w:behaviors>
        <w:guid w:val="{0FE151F2-153A-4761-9870-529C72F4AA88}"/>
      </w:docPartPr>
      <w:docPartBody>
        <w:p w:rsidR="0025165B" w:rsidRDefault="006A0C5C" w:rsidP="006A0C5C">
          <w:pPr>
            <w:pStyle w:val="04A2BC1B556746C98C04843B4ADA2EA8"/>
          </w:pPr>
          <w:r>
            <w:rPr>
              <w:rFonts w:asciiTheme="majorHAnsi" w:eastAsiaTheme="majorEastAsia" w:hAnsiTheme="majorHAnsi" w:cstheme="majorBidi"/>
              <w:sz w:val="72"/>
              <w:szCs w:val="72"/>
            </w:rPr>
            <w:t>[Type the document title]</w:t>
          </w:r>
        </w:p>
      </w:docPartBody>
    </w:docPart>
    <w:docPart>
      <w:docPartPr>
        <w:name w:val="74F2FEA00E2C4E8497776449F6624390"/>
        <w:category>
          <w:name w:val="General"/>
          <w:gallery w:val="placeholder"/>
        </w:category>
        <w:types>
          <w:type w:val="bbPlcHdr"/>
        </w:types>
        <w:behaviors>
          <w:behavior w:val="content"/>
        </w:behaviors>
        <w:guid w:val="{DBDBBFBE-C8BA-4375-84E2-436C718472E9}"/>
      </w:docPartPr>
      <w:docPartBody>
        <w:p w:rsidR="0025165B" w:rsidRDefault="006A0C5C" w:rsidP="006A0C5C">
          <w:pPr>
            <w:pStyle w:val="74F2FEA00E2C4E8497776449F6624390"/>
          </w:pPr>
          <w:r>
            <w:rPr>
              <w:rFonts w:asciiTheme="majorHAnsi" w:eastAsiaTheme="majorEastAsia" w:hAnsiTheme="majorHAnsi" w:cstheme="majorBidi"/>
              <w:sz w:val="36"/>
              <w:szCs w:val="36"/>
            </w:rPr>
            <w:t>[Type the document subtitle]</w:t>
          </w:r>
        </w:p>
      </w:docPartBody>
    </w:docPart>
    <w:docPart>
      <w:docPartPr>
        <w:name w:val="BDCD155FA7944D198D14DB78A41D1114"/>
        <w:category>
          <w:name w:val="General"/>
          <w:gallery w:val="placeholder"/>
        </w:category>
        <w:types>
          <w:type w:val="bbPlcHdr"/>
        </w:types>
        <w:behaviors>
          <w:behavior w:val="content"/>
        </w:behaviors>
        <w:guid w:val="{849BF3A9-201C-438B-8545-17BE0567B000}"/>
      </w:docPartPr>
      <w:docPartBody>
        <w:p w:rsidR="0025165B" w:rsidRDefault="006A0C5C" w:rsidP="006A0C5C">
          <w:pPr>
            <w:pStyle w:val="BDCD155FA7944D198D14DB78A41D1114"/>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C5C"/>
    <w:rsid w:val="0025165B"/>
    <w:rsid w:val="006A0C5C"/>
    <w:rsid w:val="008C71C6"/>
    <w:rsid w:val="0093741B"/>
    <w:rsid w:val="00A31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A2BC1B556746C98C04843B4ADA2EA8">
    <w:name w:val="04A2BC1B556746C98C04843B4ADA2EA8"/>
    <w:rsid w:val="006A0C5C"/>
  </w:style>
  <w:style w:type="paragraph" w:customStyle="1" w:styleId="74F2FEA00E2C4E8497776449F6624390">
    <w:name w:val="74F2FEA00E2C4E8497776449F6624390"/>
    <w:rsid w:val="006A0C5C"/>
  </w:style>
  <w:style w:type="paragraph" w:customStyle="1" w:styleId="BDCD155FA7944D198D14DB78A41D1114">
    <w:name w:val="BDCD155FA7944D198D14DB78A41D1114"/>
    <w:rsid w:val="006A0C5C"/>
  </w:style>
  <w:style w:type="paragraph" w:customStyle="1" w:styleId="CB854FD53CBA4EBFA2F821A539424AA0">
    <w:name w:val="CB854FD53CBA4EBFA2F821A539424AA0"/>
    <w:rsid w:val="006A0C5C"/>
  </w:style>
  <w:style w:type="paragraph" w:customStyle="1" w:styleId="48C5B02034D64E5A9DB47349CFF61915">
    <w:name w:val="48C5B02034D64E5A9DB47349CFF61915"/>
    <w:rsid w:val="006A0C5C"/>
  </w:style>
  <w:style w:type="paragraph" w:customStyle="1" w:styleId="EBFCF4180186433991E66B23B8D32527">
    <w:name w:val="EBFCF4180186433991E66B23B8D32527"/>
    <w:rsid w:val="006A0C5C"/>
  </w:style>
  <w:style w:type="paragraph" w:customStyle="1" w:styleId="E23DBCDAD9C646B3AFDB3D220260EB4F">
    <w:name w:val="E23DBCDAD9C646B3AFDB3D220260EB4F"/>
    <w:rsid w:val="006A0C5C"/>
  </w:style>
  <w:style w:type="paragraph" w:customStyle="1" w:styleId="58860E6871254F639419C81D2F692F14">
    <w:name w:val="58860E6871254F639419C81D2F692F14"/>
    <w:rsid w:val="006A0C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1588</Words>
  <Characters>9054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Compliance Monitoring and Review</vt:lpstr>
    </vt:vector>
  </TitlesOfParts>
  <Company>Microsoft</Company>
  <LinksUpToDate>false</LinksUpToDate>
  <CharactersWithSpaces>10621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Monitoring and Review</dc:title>
  <dc:subject>Assessment 3</dc:subject>
  <dc:creator>Nadi Chel Ko</dc:creator>
  <cp:lastModifiedBy>vinny</cp:lastModifiedBy>
  <cp:revision>2</cp:revision>
  <dcterms:created xsi:type="dcterms:W3CDTF">2020-01-21T08:56:00Z</dcterms:created>
  <dcterms:modified xsi:type="dcterms:W3CDTF">2020-01-21T08:56:00Z</dcterms:modified>
</cp:coreProperties>
</file>